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文化业务活动</w:t>
      </w:r>
      <w:r>
        <w:rPr>
          <w:rFonts w:hint="eastAsia" w:ascii="方正小标宋简体" w:hAnsi="方正小标宋简体" w:eastAsia="方正小标宋简体" w:cs="方正小标宋简体"/>
          <w:sz w:val="44"/>
          <w:szCs w:val="44"/>
        </w:rPr>
        <w:t>绩效自评报告</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一、项目基本情况</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（一）项目基本情况简介</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 xml:space="preserve">项目主管单位：鄂尔多斯市文学艺术界联合会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 xml:space="preserve">项目实施单位：鄂尔多斯市文学艺术界联合会 </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项目实施周期：2021年1月至2021年12月</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项目实施的政策依据，根据《鄂尔多斯市文联关于申请专项业务经费列入年度预算的报告》（鄂文字﹝2016﹞99号）文件精神。</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按照相关工作要求，我单位对文化活动业务工作进行了分析研判，认为文化活动工作开展需要该笔经费支持。</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（二）绩效目标设定及指标完成情况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该项目年初预算申报时已填报《项目支出绩效目标申报表》,项目年度目标为：全年围绕重大节点开展红色百年主题文艺活动、学党史文艺活动；加强文艺交流，与镇江市、井冈山等先进地区开展文艺交流创作展览活动；全年推进基础工作，继续完善人才数据库、微信公众平台等活动，为协会活动、新时代文明实践文艺志愿服务活动提供经费保障。数量指标为：开展文艺家“学党史、知党恩”主题活动</w:t>
      </w:r>
      <w:r>
        <w:rPr>
          <w:rFonts w:ascii="Arial" w:hAnsi="Arial" w:cs="Arial"/>
          <w:sz w:val="32"/>
          <w:szCs w:val="32"/>
        </w:rPr>
        <w:t>≥</w:t>
      </w:r>
      <w:r>
        <w:rPr>
          <w:rFonts w:hint="eastAsia" w:ascii="仿宋_GB2312" w:hAnsi="仿宋_GB2312" w:cs="仿宋_GB2312"/>
          <w:sz w:val="32"/>
          <w:szCs w:val="32"/>
        </w:rPr>
        <w:t>5次；开展“百年百首”诗歌音乐会1次；红色百年书法美术摄影展</w:t>
      </w:r>
      <w:r>
        <w:rPr>
          <w:rFonts w:ascii="Arial" w:hAnsi="Arial" w:cs="Arial"/>
          <w:sz w:val="32"/>
          <w:szCs w:val="32"/>
        </w:rPr>
        <w:t>≥</w:t>
      </w:r>
      <w:r>
        <w:rPr>
          <w:rFonts w:hint="eastAsia" w:ascii="仿宋_GB2312" w:hAnsi="仿宋_GB2312" w:cs="仿宋_GB2312"/>
          <w:sz w:val="32"/>
          <w:szCs w:val="32"/>
        </w:rPr>
        <w:t>1次；红色百年征文活动1次；开展对外交流活动</w:t>
      </w:r>
      <w:r>
        <w:rPr>
          <w:rFonts w:ascii="Arial" w:hAnsi="Arial" w:cs="Arial"/>
          <w:sz w:val="32"/>
          <w:szCs w:val="32"/>
        </w:rPr>
        <w:t>≥</w:t>
      </w:r>
      <w:r>
        <w:rPr>
          <w:rFonts w:hint="eastAsia" w:ascii="仿宋_GB2312" w:hAnsi="仿宋_GB2312" w:cs="仿宋_GB2312"/>
          <w:sz w:val="32"/>
          <w:szCs w:val="32"/>
        </w:rPr>
        <w:t>3次；文艺家数据库录入</w:t>
      </w:r>
      <w:r>
        <w:rPr>
          <w:rFonts w:ascii="Arial" w:hAnsi="Arial" w:cs="Arial"/>
          <w:sz w:val="32"/>
          <w:szCs w:val="32"/>
        </w:rPr>
        <w:t>≥</w:t>
      </w:r>
      <w:r>
        <w:rPr>
          <w:rFonts w:hint="eastAsia" w:ascii="仿宋_GB2312" w:hAnsi="仿宋_GB2312" w:cs="仿宋_GB2312"/>
          <w:sz w:val="32"/>
          <w:szCs w:val="32"/>
        </w:rPr>
        <w:t>1000条；微信公众号发表文章</w:t>
      </w:r>
      <w:r>
        <w:rPr>
          <w:rFonts w:ascii="Arial" w:hAnsi="Arial" w:cs="Arial"/>
          <w:sz w:val="32"/>
          <w:szCs w:val="32"/>
        </w:rPr>
        <w:t>≥</w:t>
      </w:r>
      <w:r>
        <w:rPr>
          <w:rFonts w:hint="eastAsia" w:ascii="仿宋_GB2312" w:hAnsi="仿宋_GB2312" w:cs="仿宋_GB2312"/>
          <w:sz w:val="32"/>
          <w:szCs w:val="32"/>
        </w:rPr>
        <w:t>180期。质量指标为：提升文艺界党史知识水平合格率</w:t>
      </w:r>
      <w:r>
        <w:rPr>
          <w:rFonts w:ascii="Arial" w:hAnsi="Arial" w:cs="Arial"/>
          <w:sz w:val="32"/>
          <w:szCs w:val="32"/>
        </w:rPr>
        <w:t>≥</w:t>
      </w:r>
      <w:r>
        <w:rPr>
          <w:rFonts w:hint="eastAsia" w:ascii="仿宋_GB2312" w:hAnsi="仿宋_GB2312" w:cs="仿宋_GB2312"/>
          <w:sz w:val="32"/>
          <w:szCs w:val="32"/>
        </w:rPr>
        <w:t>60%；诗歌涵盖全市历年创作的红色诗歌覆盖率50%；作品精选全市精品作品，主席团以上会员作品</w:t>
      </w:r>
      <w:r>
        <w:rPr>
          <w:rFonts w:ascii="Arial" w:hAnsi="Arial" w:cs="Arial"/>
          <w:sz w:val="32"/>
          <w:szCs w:val="32"/>
        </w:rPr>
        <w:t>≥</w:t>
      </w:r>
      <w:r>
        <w:rPr>
          <w:rFonts w:hint="eastAsia" w:ascii="仿宋_GB2312" w:hAnsi="仿宋_GB2312" w:cs="仿宋_GB2312"/>
          <w:sz w:val="32"/>
          <w:szCs w:val="32"/>
        </w:rPr>
        <w:t>60%；活动要有征集、发表、宣传出版专刊1册、发布作品10条；与周边文联形成合作机制，共同举办活动</w:t>
      </w:r>
      <w:r>
        <w:rPr>
          <w:rFonts w:ascii="Arial" w:hAnsi="Arial" w:cs="Arial"/>
          <w:sz w:val="32"/>
          <w:szCs w:val="32"/>
        </w:rPr>
        <w:t>≥</w:t>
      </w:r>
      <w:r>
        <w:rPr>
          <w:rFonts w:hint="eastAsia" w:ascii="仿宋_GB2312" w:hAnsi="仿宋_GB2312" w:cs="仿宋_GB2312"/>
          <w:sz w:val="32"/>
          <w:szCs w:val="32"/>
        </w:rPr>
        <w:t>2次；扩大本市文艺家知名度宣传知晓率</w:t>
      </w:r>
      <w:r>
        <w:rPr>
          <w:rFonts w:ascii="Arial" w:hAnsi="Arial" w:cs="Arial"/>
          <w:sz w:val="32"/>
          <w:szCs w:val="32"/>
        </w:rPr>
        <w:t>≥</w:t>
      </w:r>
      <w:r>
        <w:rPr>
          <w:rFonts w:hint="eastAsia" w:ascii="仿宋_GB2312" w:hAnsi="仿宋_GB2312" w:cs="仿宋_GB2312"/>
          <w:sz w:val="32"/>
          <w:szCs w:val="32"/>
        </w:rPr>
        <w:t>60%；微信平台公众号文章数量</w:t>
      </w:r>
      <w:r>
        <w:rPr>
          <w:rFonts w:ascii="Arial" w:hAnsi="Arial" w:cs="Arial"/>
          <w:sz w:val="32"/>
          <w:szCs w:val="32"/>
        </w:rPr>
        <w:t>≥</w:t>
      </w:r>
      <w:r>
        <w:rPr>
          <w:rFonts w:hint="eastAsia" w:ascii="仿宋_GB2312" w:hAnsi="仿宋_GB2312" w:cs="仿宋_GB2312"/>
          <w:sz w:val="32"/>
          <w:szCs w:val="32"/>
        </w:rPr>
        <w:t>180条。时效指标为：各项工作完成时间，2021年1月至2021年12月。成本指标为：开展文艺家“学党史、知党恩”主题活动各项活动的费用</w:t>
      </w:r>
      <w:r>
        <w:rPr>
          <w:rFonts w:ascii="Arial" w:hAnsi="Arial" w:cs="Arial"/>
          <w:sz w:val="32"/>
          <w:szCs w:val="32"/>
        </w:rPr>
        <w:t>≤</w:t>
      </w:r>
      <w:r>
        <w:rPr>
          <w:rFonts w:hint="eastAsia" w:ascii="仿宋_GB2312" w:hAnsi="仿宋_GB2312" w:cs="仿宋_GB2312"/>
          <w:sz w:val="32"/>
          <w:szCs w:val="32"/>
        </w:rPr>
        <w:t>31.4万元；开展“百年百首”诗歌音乐会场地、编导、演员等费用</w:t>
      </w:r>
      <w:r>
        <w:rPr>
          <w:rFonts w:ascii="Arial" w:hAnsi="Arial" w:cs="Arial"/>
          <w:sz w:val="32"/>
          <w:szCs w:val="32"/>
        </w:rPr>
        <w:t>≤</w:t>
      </w:r>
      <w:r>
        <w:rPr>
          <w:rFonts w:hint="eastAsia" w:ascii="仿宋_GB2312" w:hAnsi="仿宋_GB2312" w:cs="仿宋_GB2312"/>
          <w:sz w:val="32"/>
          <w:szCs w:val="32"/>
        </w:rPr>
        <w:t>18万元；红色百年书法美术摄影作品装裱、展馆部署、开展仪式等费用</w:t>
      </w:r>
      <w:r>
        <w:rPr>
          <w:rFonts w:ascii="Arial" w:hAnsi="Arial" w:cs="Arial"/>
          <w:sz w:val="32"/>
          <w:szCs w:val="32"/>
        </w:rPr>
        <w:t>≤</w:t>
      </w:r>
      <w:r>
        <w:rPr>
          <w:rFonts w:hint="eastAsia" w:ascii="仿宋_GB2312" w:hAnsi="仿宋_GB2312" w:cs="仿宋_GB2312"/>
          <w:sz w:val="32"/>
          <w:szCs w:val="32"/>
        </w:rPr>
        <w:t>12万元；红色百年征文稿费、专刊增刊出版等费用</w:t>
      </w:r>
      <w:r>
        <w:rPr>
          <w:rFonts w:ascii="Arial" w:hAnsi="Arial" w:cs="Arial"/>
          <w:sz w:val="32"/>
          <w:szCs w:val="32"/>
        </w:rPr>
        <w:t>≤</w:t>
      </w:r>
      <w:r>
        <w:rPr>
          <w:rFonts w:hint="eastAsia" w:ascii="仿宋_GB2312" w:hAnsi="仿宋_GB2312" w:cs="仿宋_GB2312"/>
          <w:sz w:val="32"/>
          <w:szCs w:val="32"/>
        </w:rPr>
        <w:t>6万元；与其它地区文联联办活动、互办采风等活动费用</w:t>
      </w:r>
      <w:r>
        <w:rPr>
          <w:rFonts w:ascii="Arial" w:hAnsi="Arial" w:cs="Arial"/>
          <w:sz w:val="32"/>
          <w:szCs w:val="32"/>
        </w:rPr>
        <w:t>≤</w:t>
      </w:r>
      <w:r>
        <w:rPr>
          <w:rFonts w:hint="eastAsia" w:ascii="仿宋_GB2312" w:hAnsi="仿宋_GB2312" w:cs="仿宋_GB2312"/>
          <w:sz w:val="32"/>
          <w:szCs w:val="32"/>
        </w:rPr>
        <w:t>23万元；数据库维护、录入、上线等费用</w:t>
      </w:r>
      <w:r>
        <w:rPr>
          <w:rFonts w:ascii="Arial" w:hAnsi="Arial" w:cs="Arial"/>
          <w:sz w:val="32"/>
          <w:szCs w:val="32"/>
        </w:rPr>
        <w:t>≤</w:t>
      </w:r>
      <w:r>
        <w:rPr>
          <w:rFonts w:hint="eastAsia" w:ascii="仿宋_GB2312" w:hAnsi="仿宋_GB2312" w:cs="仿宋_GB2312"/>
          <w:sz w:val="32"/>
          <w:szCs w:val="32"/>
        </w:rPr>
        <w:t>4.8万元；微信平台维护、发布费用</w:t>
      </w:r>
      <w:r>
        <w:rPr>
          <w:rFonts w:ascii="Arial" w:hAnsi="Arial" w:cs="Arial"/>
          <w:sz w:val="32"/>
          <w:szCs w:val="32"/>
        </w:rPr>
        <w:t>≤</w:t>
      </w:r>
      <w:r>
        <w:rPr>
          <w:rFonts w:hint="eastAsia" w:ascii="仿宋_GB2312" w:hAnsi="仿宋_GB2312" w:cs="仿宋_GB2312"/>
          <w:sz w:val="32"/>
          <w:szCs w:val="32"/>
        </w:rPr>
        <w:t>4.8万元。效益指标为：有效加强文艺交流；有效保障协会活动、新时代文明实践文艺志愿服务活动顺利开展；长期发挥项目可持续作用。满意度指标为：群众满意度</w:t>
      </w:r>
      <w:r>
        <w:rPr>
          <w:rFonts w:ascii="Arial" w:hAnsi="Arial" w:cs="Arial"/>
          <w:sz w:val="32"/>
          <w:szCs w:val="32"/>
        </w:rPr>
        <w:t>≥</w:t>
      </w:r>
      <w:r>
        <w:rPr>
          <w:rFonts w:hint="eastAsia" w:ascii="仿宋_GB2312" w:hAnsi="仿宋_GB2312" w:cs="仿宋_GB2312"/>
          <w:sz w:val="32"/>
          <w:szCs w:val="32"/>
        </w:rPr>
        <w:t>90%；文艺家满意度</w:t>
      </w:r>
      <w:r>
        <w:rPr>
          <w:rFonts w:ascii="Arial" w:hAnsi="Arial" w:cs="Arial"/>
          <w:sz w:val="32"/>
          <w:szCs w:val="32"/>
        </w:rPr>
        <w:t>≥</w:t>
      </w:r>
      <w:r>
        <w:rPr>
          <w:rFonts w:hint="eastAsia" w:ascii="仿宋_GB2312" w:hAnsi="仿宋_GB2312" w:cs="仿宋_GB2312"/>
          <w:sz w:val="32"/>
          <w:szCs w:val="32"/>
        </w:rPr>
        <w:t>90%。</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截止自评之日该项目完成数量指标为：数量指标为：开展文艺家“学党史、知党恩”主题活动</w:t>
      </w:r>
      <w:r>
        <w:rPr>
          <w:rFonts w:hint="eastAsia" w:ascii="Arial" w:hAnsi="Arial" w:cs="Arial"/>
          <w:sz w:val="32"/>
          <w:szCs w:val="32"/>
        </w:rPr>
        <w:t>5</w:t>
      </w:r>
      <w:r>
        <w:rPr>
          <w:rFonts w:hint="eastAsia" w:ascii="仿宋_GB2312" w:hAnsi="仿宋_GB2312" w:cs="仿宋_GB2312"/>
          <w:sz w:val="32"/>
          <w:szCs w:val="32"/>
        </w:rPr>
        <w:t>次；开展“百年百首”诗歌音乐会1次；红色百年书法美术摄影展1次；红色百年征文活动1次；开展对外交流活动3次；文艺家数据库录入</w:t>
      </w:r>
      <w:r>
        <w:rPr>
          <w:rFonts w:hint="eastAsia" w:ascii="Arial" w:hAnsi="Arial" w:cs="Arial"/>
          <w:sz w:val="32"/>
          <w:szCs w:val="32"/>
        </w:rPr>
        <w:t>1200</w:t>
      </w:r>
      <w:r>
        <w:rPr>
          <w:rFonts w:hint="eastAsia" w:ascii="仿宋_GB2312" w:hAnsi="仿宋_GB2312" w:cs="仿宋_GB2312"/>
          <w:sz w:val="32"/>
          <w:szCs w:val="32"/>
        </w:rPr>
        <w:t>条；微信公众号发表文章180期。质量指标为：提升文艺界党史知识水平合格率</w:t>
      </w:r>
      <w:r>
        <w:rPr>
          <w:rFonts w:hint="eastAsia" w:ascii="Arial" w:hAnsi="Arial" w:cs="Arial"/>
          <w:sz w:val="32"/>
          <w:szCs w:val="32"/>
        </w:rPr>
        <w:t>8</w:t>
      </w:r>
      <w:r>
        <w:rPr>
          <w:rFonts w:hint="eastAsia" w:ascii="仿宋_GB2312" w:hAnsi="仿宋_GB2312" w:cs="仿宋_GB2312"/>
          <w:sz w:val="32"/>
          <w:szCs w:val="32"/>
        </w:rPr>
        <w:t>0%；诗歌涵盖全市历年创作的红色诗歌覆盖率60%；作品精选全市精品作品，主席团以上会员作品</w:t>
      </w:r>
      <w:r>
        <w:rPr>
          <w:rFonts w:hint="eastAsia" w:ascii="Arial" w:hAnsi="Arial" w:cs="Arial"/>
          <w:sz w:val="32"/>
          <w:szCs w:val="32"/>
        </w:rPr>
        <w:t>80</w:t>
      </w:r>
      <w:r>
        <w:rPr>
          <w:rFonts w:hint="eastAsia" w:ascii="仿宋_GB2312" w:hAnsi="仿宋_GB2312" w:cs="仿宋_GB2312"/>
          <w:sz w:val="32"/>
          <w:szCs w:val="32"/>
        </w:rPr>
        <w:t>%；活动要有征集、发表、宣传出版专刊2册、发布作品25条；与周边文联形成合作机制，共同举办活动</w:t>
      </w:r>
      <w:r>
        <w:rPr>
          <w:rFonts w:hint="eastAsia" w:ascii="Arial" w:hAnsi="Arial" w:cs="Arial"/>
          <w:sz w:val="32"/>
          <w:szCs w:val="32"/>
        </w:rPr>
        <w:t>5</w:t>
      </w:r>
      <w:r>
        <w:rPr>
          <w:rFonts w:hint="eastAsia" w:ascii="仿宋_GB2312" w:hAnsi="仿宋_GB2312" w:cs="仿宋_GB2312"/>
          <w:sz w:val="32"/>
          <w:szCs w:val="32"/>
        </w:rPr>
        <w:t>次；扩大本市文艺家知名度宣传知晓率60%；微信平台公众号文章数量180条。成本指标为：开展文艺家“学党史、知党恩”主题活动各项活动的费用29.94万元；开展“百年百首”诗歌音乐会场地、编导、演员等费用7.44万元；红色百年书法美术摄影作品装裱、展馆部署、开展仪式等费用19.8万元；红色百年征文稿费、专刊增刊出版等费用4.14万元；与其它地区文联联办活动、互办采风等活动费用19.89万元；数据库维护、录入、上线等费用4.8万元；微信平台维护、发布费用4.74万元。全年预算数为100万元，执行数为90.710898万元，完成预算的90.71%。效益指标为：有效加强文艺交流；有效保障协会活动、新时代文明实践文艺志愿服务活动顺利开展；长期发挥项目可持续作用。满意度指标为：群众满意度</w:t>
      </w:r>
      <w:r>
        <w:rPr>
          <w:rFonts w:ascii="Arial" w:hAnsi="Arial" w:cs="Arial"/>
          <w:sz w:val="32"/>
          <w:szCs w:val="32"/>
        </w:rPr>
        <w:t>≥</w:t>
      </w:r>
      <w:r>
        <w:rPr>
          <w:rFonts w:hint="eastAsia" w:ascii="仿宋_GB2312" w:hAnsi="仿宋_GB2312" w:cs="仿宋_GB2312"/>
          <w:sz w:val="32"/>
          <w:szCs w:val="32"/>
        </w:rPr>
        <w:t>90%；文艺家满意度</w:t>
      </w:r>
      <w:r>
        <w:rPr>
          <w:rFonts w:ascii="Arial" w:hAnsi="Arial" w:cs="Arial"/>
          <w:sz w:val="32"/>
          <w:szCs w:val="32"/>
        </w:rPr>
        <w:t>≥</w:t>
      </w:r>
      <w:r>
        <w:rPr>
          <w:rFonts w:hint="eastAsia" w:ascii="仿宋_GB2312" w:hAnsi="仿宋_GB2312" w:cs="仿宋_GB2312"/>
          <w:sz w:val="32"/>
          <w:szCs w:val="32"/>
        </w:rPr>
        <w:t>90%。绩效目标全部实现。</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二、绩效自评工作情况</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（一）绩效自评目的</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为规范和加强财政支出管理，强化支出责任，建立科学、规范的财政支出绩效评价管理体系，提高财政资金使用效益，及时发现自身存在的问题提出解决方案，确保项目顺利实施及时发挥效益，根据市文联绩效管理工作部署，我单位文化活动业务经费项目进项绩效自评。</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（二）项目资金投入情况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该项目总预算100万元，于2021年6月到位100万元，共到位资金100万元，支出90.710898万元。支出资金主要用于开展文艺家“学党史、知党恩”主题活动各项活动的费用29.94万元；开展“百年百首”诗歌音乐会场地、编导、演员等费用7.44万元；红色百年书法美术摄影作品装裱、展馆部署、开展仪式等费用19.8万元；红色百年征文稿费、专刊增刊出版等费用4.14万元；与其它地区文联联办活动、互办采风等活动费用19.89万元；数据库维护、录入、上线等费用4.8万元；微信平台维护、发布费用4.74万元。结余资金9.289102万元，结余资金已全部交回财政。</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（三）项目资金产出情况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该笔项目全年预算数为100万元，执行数为90.710898万元，完成预算的90.71%。通过该项目资金支持，全年围绕庆祝建党100周年、党史学习教育以及市委政府重点工作开展了十余项大型文艺活动、出版了庆祝专刊、增刊，为全市庆祝活动营造了氛围。同时加强了与周边地区的文艺交流，调动了全市文艺工作的积极性。全年有十余位文学艺术家作品活动国家级奖励或参加国家级展览展演，达到了繁荣文艺的作用。</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（四）项目资金管理情况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根据我单位财务管理制度，对该项目资金进行严格管理，项目单位资金执行转款专用，专账管理。对项目资金支出严格按照财务制度执行逐级审批制度。未出现截留、挤占、挪用等情况。</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三、项目绩效情况</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（一）产出指标完成情况</w:t>
      </w:r>
    </w:p>
    <w:p>
      <w:pPr>
        <w:spacing w:line="560" w:lineRule="exact"/>
        <w:ind w:firstLine="643"/>
        <w:rPr>
          <w:rFonts w:ascii="仿宋_GB2312" w:hAnsi="仿宋_GB2312" w:cs="仿宋_GB2312"/>
          <w:b/>
          <w:bCs/>
          <w:sz w:val="32"/>
          <w:szCs w:val="32"/>
        </w:rPr>
      </w:pPr>
      <w:r>
        <w:rPr>
          <w:rFonts w:hint="eastAsia" w:ascii="仿宋_GB2312" w:hAnsi="仿宋_GB2312" w:cs="仿宋_GB2312"/>
          <w:b/>
          <w:bCs/>
          <w:sz w:val="32"/>
          <w:szCs w:val="32"/>
        </w:rPr>
        <w:t>1.数量指标完成情况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开展文艺家“学党史、知党恩”主题活动</w:t>
      </w:r>
      <w:r>
        <w:rPr>
          <w:rFonts w:hint="eastAsia" w:ascii="Arial" w:hAnsi="Arial" w:cs="Arial"/>
          <w:sz w:val="32"/>
          <w:szCs w:val="32"/>
        </w:rPr>
        <w:t>5</w:t>
      </w:r>
      <w:r>
        <w:rPr>
          <w:rFonts w:hint="eastAsia" w:ascii="仿宋_GB2312" w:hAnsi="仿宋_GB2312" w:cs="仿宋_GB2312"/>
          <w:sz w:val="32"/>
          <w:szCs w:val="32"/>
        </w:rPr>
        <w:t>次；开展“百年百首”诗歌音乐会1次；红色百年书法美术摄影展</w:t>
      </w:r>
      <w:r>
        <w:rPr>
          <w:rFonts w:hint="eastAsia" w:ascii="Arial" w:hAnsi="Arial" w:cs="Arial"/>
          <w:sz w:val="32"/>
          <w:szCs w:val="32"/>
        </w:rPr>
        <w:t>1</w:t>
      </w:r>
      <w:r>
        <w:rPr>
          <w:rFonts w:hint="eastAsia" w:ascii="仿宋_GB2312" w:hAnsi="仿宋_GB2312" w:cs="仿宋_GB2312"/>
          <w:sz w:val="32"/>
          <w:szCs w:val="32"/>
        </w:rPr>
        <w:t>次；红色百年征文活动1次；开展对外交流活动</w:t>
      </w:r>
      <w:r>
        <w:rPr>
          <w:rFonts w:hint="eastAsia" w:ascii="Arial" w:hAnsi="Arial" w:cs="Arial"/>
          <w:sz w:val="32"/>
          <w:szCs w:val="32"/>
        </w:rPr>
        <w:t>3</w:t>
      </w:r>
      <w:r>
        <w:rPr>
          <w:rFonts w:hint="eastAsia" w:ascii="仿宋_GB2312" w:hAnsi="仿宋_GB2312" w:cs="仿宋_GB2312"/>
          <w:sz w:val="32"/>
          <w:szCs w:val="32"/>
        </w:rPr>
        <w:t>次；文艺家数据库录入</w:t>
      </w:r>
      <w:r>
        <w:rPr>
          <w:rFonts w:hint="eastAsia" w:ascii="Arial" w:hAnsi="Arial" w:cs="Arial"/>
          <w:sz w:val="32"/>
          <w:szCs w:val="32"/>
        </w:rPr>
        <w:t>1200</w:t>
      </w:r>
      <w:r>
        <w:rPr>
          <w:rFonts w:hint="eastAsia" w:ascii="仿宋_GB2312" w:hAnsi="仿宋_GB2312" w:cs="仿宋_GB2312"/>
          <w:sz w:val="32"/>
          <w:szCs w:val="32"/>
        </w:rPr>
        <w:t>条；微信公众号发表文章180期。。</w:t>
      </w:r>
    </w:p>
    <w:p>
      <w:pPr>
        <w:spacing w:line="560" w:lineRule="exact"/>
        <w:ind w:firstLine="643"/>
        <w:rPr>
          <w:rFonts w:ascii="仿宋_GB2312" w:hAnsi="仿宋_GB2312" w:cs="仿宋_GB2312"/>
          <w:b/>
          <w:bCs/>
          <w:sz w:val="32"/>
          <w:szCs w:val="32"/>
        </w:rPr>
      </w:pPr>
      <w:r>
        <w:rPr>
          <w:rFonts w:hint="eastAsia" w:ascii="仿宋_GB2312" w:hAnsi="仿宋_GB2312" w:cs="仿宋_GB2312"/>
          <w:b/>
          <w:bCs/>
          <w:sz w:val="32"/>
          <w:szCs w:val="32"/>
        </w:rPr>
        <w:t>2.质量指标完成情况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提升文艺界党史知识水平合格率</w:t>
      </w:r>
      <w:r>
        <w:rPr>
          <w:rFonts w:hint="eastAsia" w:ascii="Arial" w:hAnsi="Arial" w:cs="Arial"/>
          <w:sz w:val="32"/>
          <w:szCs w:val="32"/>
        </w:rPr>
        <w:t>80</w:t>
      </w:r>
      <w:r>
        <w:rPr>
          <w:rFonts w:hint="eastAsia" w:ascii="仿宋_GB2312" w:hAnsi="仿宋_GB2312" w:cs="仿宋_GB2312"/>
          <w:sz w:val="32"/>
          <w:szCs w:val="32"/>
        </w:rPr>
        <w:t>%；诗歌涵盖全市历年创作的红色诗歌覆盖率60%；作品精选全市精品作品，主席团以上会员作品</w:t>
      </w:r>
      <w:r>
        <w:rPr>
          <w:rFonts w:hint="eastAsia" w:ascii="Arial" w:hAnsi="Arial" w:cs="Arial"/>
          <w:sz w:val="32"/>
          <w:szCs w:val="32"/>
        </w:rPr>
        <w:t>80</w:t>
      </w:r>
      <w:r>
        <w:rPr>
          <w:rFonts w:hint="eastAsia" w:ascii="仿宋_GB2312" w:hAnsi="仿宋_GB2312" w:cs="仿宋_GB2312"/>
          <w:sz w:val="32"/>
          <w:szCs w:val="32"/>
        </w:rPr>
        <w:t>0%；活动要有征集、发表、宣传出版专刊2册、发布作品25条；与周边文联形成合作机制，共同举办活动</w:t>
      </w:r>
      <w:r>
        <w:rPr>
          <w:rFonts w:hint="eastAsia" w:ascii="Arial" w:hAnsi="Arial" w:cs="Arial"/>
          <w:sz w:val="32"/>
          <w:szCs w:val="32"/>
        </w:rPr>
        <w:t>3</w:t>
      </w:r>
      <w:r>
        <w:rPr>
          <w:rFonts w:hint="eastAsia" w:ascii="仿宋_GB2312" w:hAnsi="仿宋_GB2312" w:cs="仿宋_GB2312"/>
          <w:sz w:val="32"/>
          <w:szCs w:val="32"/>
        </w:rPr>
        <w:t>次；扩大本市文艺家知名度宣传知晓率</w:t>
      </w:r>
      <w:r>
        <w:rPr>
          <w:rFonts w:hint="eastAsia" w:ascii="Arial" w:hAnsi="Arial" w:cs="Arial"/>
          <w:sz w:val="32"/>
          <w:szCs w:val="32"/>
        </w:rPr>
        <w:t>6</w:t>
      </w:r>
      <w:r>
        <w:rPr>
          <w:rFonts w:hint="eastAsia" w:ascii="仿宋_GB2312" w:hAnsi="仿宋_GB2312" w:cs="仿宋_GB2312"/>
          <w:sz w:val="32"/>
          <w:szCs w:val="32"/>
        </w:rPr>
        <w:t>0%；微信平台公众号文章数量180条。</w:t>
      </w:r>
    </w:p>
    <w:p>
      <w:pPr>
        <w:spacing w:line="560" w:lineRule="exact"/>
        <w:ind w:firstLine="643"/>
        <w:rPr>
          <w:rFonts w:ascii="仿宋_GB2312" w:hAnsi="仿宋_GB2312" w:cs="仿宋_GB2312"/>
          <w:b/>
          <w:bCs/>
          <w:sz w:val="32"/>
          <w:szCs w:val="32"/>
        </w:rPr>
      </w:pPr>
      <w:r>
        <w:rPr>
          <w:rFonts w:hint="eastAsia" w:ascii="仿宋_GB2312" w:hAnsi="仿宋_GB2312" w:cs="仿宋_GB2312"/>
          <w:b/>
          <w:bCs/>
          <w:sz w:val="32"/>
          <w:szCs w:val="32"/>
        </w:rPr>
        <w:t>3.时效指标完成情况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已在2021年年内完成相关工作。</w:t>
      </w:r>
    </w:p>
    <w:p>
      <w:pPr>
        <w:spacing w:line="560" w:lineRule="exact"/>
        <w:ind w:firstLine="643"/>
        <w:rPr>
          <w:rFonts w:ascii="仿宋_GB2312" w:hAnsi="仿宋_GB2312" w:cs="仿宋_GB2312"/>
          <w:b/>
          <w:bCs/>
          <w:sz w:val="32"/>
          <w:szCs w:val="32"/>
        </w:rPr>
      </w:pPr>
      <w:r>
        <w:rPr>
          <w:rFonts w:hint="eastAsia" w:ascii="仿宋_GB2312" w:hAnsi="仿宋_GB2312" w:cs="仿宋_GB2312"/>
          <w:b/>
          <w:bCs/>
          <w:sz w:val="32"/>
          <w:szCs w:val="32"/>
        </w:rPr>
        <w:t>4.成本指标完成情况</w:t>
      </w:r>
    </w:p>
    <w:p>
      <w:pPr>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开展文艺家“学党史、知党恩”主题活动各项活动的费用29.9万元；开展“百年百首”诗歌音乐会场地、编导、演员等费用7.44万元；红色百年书法美术摄影作品装裱、展馆部署、开展仪式等费用19.8万元；红色百年征文稿费、专刊增刊出版等费用4.14万元；与其它地区文联联办活动、互办采风等活动费用19.89万元；数据库维护、录入、上线等费用4.8万元；微信平台维护、发布费用4.74万元。全年预算数为100万元，执行数为90.710898万元，完成预算的90.71%。</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（二）效益指标完成情况</w:t>
      </w:r>
    </w:p>
    <w:p>
      <w:pPr>
        <w:spacing w:line="560" w:lineRule="exact"/>
        <w:ind w:firstLine="643"/>
        <w:rPr>
          <w:rFonts w:ascii="仿宋_GB2312" w:hAnsi="仿宋_GB2312" w:cs="仿宋_GB2312"/>
          <w:b/>
          <w:bCs/>
          <w:sz w:val="32"/>
          <w:szCs w:val="32"/>
        </w:rPr>
      </w:pPr>
      <w:r>
        <w:rPr>
          <w:rFonts w:hint="eastAsia" w:ascii="仿宋_GB2312" w:hAnsi="仿宋_GB2312" w:cs="仿宋_GB2312"/>
          <w:b/>
          <w:bCs/>
          <w:sz w:val="32"/>
          <w:szCs w:val="32"/>
        </w:rPr>
        <w:t>1.社会效益指标完成情况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通过开展了湘蒙艺术家走进鄂尔多斯等大型文艺活动，邀请了全国书协副主席、湖南省文联主席、湖南省书协主席鄢福初等名家走进鄂尔多斯，促进了书法创作水平；邀请著名相声演员大兵、郑卫国等与乌兰牧骑共同为市民演出，提升了文化享受。同时通过有力保障，结合“学党史、知党恩”开展了文艺进社区、经校园等文艺惠民活动，有效促进我市新时代文明实践文艺志愿服务项目试点工作，得到了中国文联的大力肯定。</w:t>
      </w:r>
    </w:p>
    <w:p>
      <w:pPr>
        <w:ind w:firstLine="643"/>
        <w:rPr>
          <w:rFonts w:ascii="仿宋_GB2312" w:hAnsi="仿宋_GB2312" w:cs="仿宋_GB2312"/>
          <w:b/>
          <w:bCs/>
          <w:sz w:val="32"/>
          <w:szCs w:val="32"/>
        </w:rPr>
      </w:pPr>
      <w:r>
        <w:rPr>
          <w:rFonts w:hint="eastAsia" w:ascii="仿宋_GB2312" w:hAnsi="仿宋_GB2312" w:cs="仿宋_GB2312"/>
          <w:b/>
          <w:bCs/>
          <w:sz w:val="32"/>
          <w:szCs w:val="32"/>
        </w:rPr>
        <w:t>2、可持续影响指标完成情况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文联通过建立长效机制，有效发挥职能，促进全市文艺繁荣发展。同时长期发挥项目可持续作用，建立起文艺服务基层、服务人民的长效机制。</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（三）自评得分情况</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自评得分为94.1</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四、存在问题</w:t>
      </w:r>
    </w:p>
    <w:p>
      <w:pPr>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（一）项目立项、实施存在问题</w:t>
      </w:r>
    </w:p>
    <w:p>
      <w:pPr>
        <w:spacing w:line="560" w:lineRule="exact"/>
        <w:ind w:firstLine="640"/>
        <w:rPr>
          <w:rFonts w:ascii="仿宋_GB2312" w:hAnsi="仿宋_GB2312" w:cs="仿宋_GB2312"/>
          <w:sz w:val="32"/>
          <w:szCs w:val="32"/>
        </w:rPr>
      </w:pPr>
      <w:r>
        <w:rPr>
          <w:rFonts w:hint="eastAsia" w:ascii="仿宋_GB2312" w:hAnsi="仿宋_GB2312" w:cs="仿宋_GB2312"/>
          <w:sz w:val="32"/>
          <w:szCs w:val="32"/>
        </w:rPr>
        <w:t>未将疫情等相关因素做综合考量，部分活动未开展或根据实际情况进行了简化。</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五、其他需要说明的问题</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（一）后续工作计划</w:t>
      </w:r>
    </w:p>
    <w:p>
      <w:pPr>
        <w:spacing w:line="560" w:lineRule="exact"/>
        <w:ind w:firstLine="640"/>
        <w:rPr>
          <w:rFonts w:ascii="仿宋_GB2312" w:hAnsi="仿宋_GB2312" w:cs="仿宋_GB2312"/>
          <w:sz w:val="32"/>
          <w:szCs w:val="32"/>
        </w:rPr>
      </w:pPr>
      <w:bookmarkStart w:id="0" w:name="_Toc8304"/>
      <w:r>
        <w:rPr>
          <w:rFonts w:hint="eastAsia" w:ascii="仿宋_GB2312" w:hAnsi="仿宋_GB2312" w:cs="仿宋_GB2312"/>
          <w:sz w:val="32"/>
          <w:szCs w:val="32"/>
        </w:rPr>
        <w:t>通过本次绩效评价不断总结经验，发现问题，提出改进，从而进一步提升资金使用的经济性、效率性和效益性，改善财政支出管理。</w:t>
      </w:r>
      <w:bookmarkEnd w:id="0"/>
    </w:p>
    <w:p>
      <w:pPr>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附件：绩效自评打分表</w:t>
      </w:r>
    </w:p>
    <w:p>
      <w:pPr>
        <w:pStyle w:val="2"/>
        <w:rPr>
          <w:rFonts w:hint="eastAsia" w:ascii="仿宋_GB2312" w:hAnsi="仿宋_GB2312" w:cs="仿宋_GB2312"/>
          <w:sz w:val="32"/>
          <w:szCs w:val="32"/>
        </w:rPr>
      </w:pPr>
    </w:p>
    <w:p>
      <w:pPr>
        <w:pStyle w:val="2"/>
        <w:rPr>
          <w:rFonts w:hint="eastAsia" w:ascii="仿宋_GB2312" w:hAnsi="仿宋_GB2312" w:cs="仿宋_GB2312"/>
          <w:sz w:val="32"/>
          <w:szCs w:val="32"/>
        </w:rPr>
      </w:pPr>
    </w:p>
    <w:p>
      <w:pPr>
        <w:pStyle w:val="2"/>
        <w:rPr>
          <w:rFonts w:hint="eastAsia" w:ascii="仿宋_GB2312" w:hAnsi="仿宋_GB2312" w:cs="仿宋_GB2312"/>
          <w:sz w:val="32"/>
          <w:szCs w:val="32"/>
        </w:rPr>
      </w:pPr>
    </w:p>
    <w:p>
      <w:pPr>
        <w:pStyle w:val="2"/>
        <w:ind w:left="0" w:leftChars="0" w:firstLine="0" w:firstLineChars="0"/>
        <w:rPr>
          <w:rFonts w:hint="eastAsia" w:ascii="仿宋_GB2312" w:hAnsi="仿宋_GB2312" w:cs="仿宋_GB2312"/>
          <w:sz w:val="32"/>
          <w:szCs w:val="32"/>
        </w:rPr>
      </w:pPr>
    </w:p>
    <w:p>
      <w:pPr>
        <w:pStyle w:val="2"/>
        <w:ind w:left="0" w:leftChars="0" w:firstLine="0" w:firstLineChars="0"/>
        <w:rPr>
          <w:rFonts w:hint="eastAsia" w:ascii="仿宋_GB2312" w:hAnsi="仿宋_GB2312" w:cs="仿宋_GB2312"/>
          <w:sz w:val="32"/>
          <w:szCs w:val="32"/>
        </w:rPr>
      </w:pPr>
    </w:p>
    <w:p>
      <w:pPr>
        <w:pStyle w:val="2"/>
        <w:ind w:left="0" w:leftChars="0" w:firstLine="0" w:firstLineChars="0"/>
        <w:rPr>
          <w:rFonts w:hint="eastAsia" w:ascii="仿宋_GB2312" w:hAnsi="仿宋_GB2312" w:cs="仿宋_GB2312"/>
          <w:sz w:val="32"/>
          <w:szCs w:val="32"/>
        </w:rPr>
      </w:pPr>
    </w:p>
    <w:tbl>
      <w:tblPr>
        <w:tblStyle w:val="8"/>
        <w:tblW w:w="9122" w:type="dxa"/>
        <w:tblInd w:w="-96" w:type="dxa"/>
        <w:tblLayout w:type="fixed"/>
        <w:tblCellMar>
          <w:top w:w="0" w:type="dxa"/>
          <w:left w:w="108" w:type="dxa"/>
          <w:bottom w:w="0" w:type="dxa"/>
          <w:right w:w="108" w:type="dxa"/>
        </w:tblCellMar>
      </w:tblPr>
      <w:tblGrid>
        <w:gridCol w:w="668"/>
        <w:gridCol w:w="873"/>
        <w:gridCol w:w="559"/>
        <w:gridCol w:w="1022"/>
        <w:gridCol w:w="1078"/>
        <w:gridCol w:w="123"/>
        <w:gridCol w:w="1240"/>
        <w:gridCol w:w="322"/>
        <w:gridCol w:w="401"/>
        <w:gridCol w:w="246"/>
        <w:gridCol w:w="122"/>
        <w:gridCol w:w="478"/>
        <w:gridCol w:w="354"/>
        <w:gridCol w:w="423"/>
        <w:gridCol w:w="436"/>
        <w:gridCol w:w="777"/>
      </w:tblGrid>
      <w:tr>
        <w:tblPrEx>
          <w:tblCellMar>
            <w:top w:w="0" w:type="dxa"/>
            <w:left w:w="108" w:type="dxa"/>
            <w:bottom w:w="0" w:type="dxa"/>
            <w:right w:w="108" w:type="dxa"/>
          </w:tblCellMar>
        </w:tblPrEx>
        <w:trPr>
          <w:trHeight w:val="310" w:hRule="atLeast"/>
        </w:trPr>
        <w:tc>
          <w:tcPr>
            <w:tcW w:w="9122" w:type="dxa"/>
            <w:gridSpan w:val="16"/>
            <w:tcBorders>
              <w:top w:val="nil"/>
              <w:left w:val="nil"/>
              <w:bottom w:val="nil"/>
              <w:right w:val="nil"/>
            </w:tcBorders>
            <w:shd w:val="clear" w:color="auto" w:fill="auto"/>
            <w:vAlign w:val="center"/>
          </w:tcPr>
          <w:p>
            <w:pPr>
              <w:widowControl/>
              <w:ind w:firstLine="321"/>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项目支出绩效目标填报（自评）表</w:t>
            </w:r>
          </w:p>
        </w:tc>
      </w:tr>
      <w:tr>
        <w:tblPrEx>
          <w:tblCellMar>
            <w:top w:w="0" w:type="dxa"/>
            <w:left w:w="108" w:type="dxa"/>
            <w:bottom w:w="0" w:type="dxa"/>
            <w:right w:w="108" w:type="dxa"/>
          </w:tblCellMar>
        </w:tblPrEx>
        <w:trPr>
          <w:trHeight w:val="285" w:hRule="atLeast"/>
        </w:trPr>
        <w:tc>
          <w:tcPr>
            <w:tcW w:w="9122" w:type="dxa"/>
            <w:gridSpan w:val="16"/>
            <w:tcBorders>
              <w:top w:val="nil"/>
              <w:left w:val="nil"/>
              <w:bottom w:val="nil"/>
              <w:right w:val="nil"/>
            </w:tcBorders>
            <w:shd w:val="clear" w:color="auto" w:fill="auto"/>
            <w:vAlign w:val="center"/>
          </w:tcPr>
          <w:p>
            <w:pPr>
              <w:widowControl/>
              <w:ind w:firstLine="321"/>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2021 年度）</w:t>
            </w:r>
          </w:p>
        </w:tc>
      </w:tr>
      <w:tr>
        <w:tblPrEx>
          <w:tblCellMar>
            <w:top w:w="0" w:type="dxa"/>
            <w:left w:w="108" w:type="dxa"/>
            <w:bottom w:w="0" w:type="dxa"/>
            <w:right w:w="108" w:type="dxa"/>
          </w:tblCellMar>
        </w:tblPrEx>
        <w:trPr>
          <w:trHeight w:val="330" w:hRule="atLeast"/>
        </w:trPr>
        <w:tc>
          <w:tcPr>
            <w:tcW w:w="4200" w:type="dxa"/>
            <w:gridSpan w:val="5"/>
            <w:tcBorders>
              <w:top w:val="nil"/>
              <w:left w:val="nil"/>
              <w:bottom w:val="single" w:color="000000" w:sz="8" w:space="0"/>
              <w:right w:val="nil"/>
            </w:tcBorders>
            <w:shd w:val="clear" w:color="auto" w:fill="auto"/>
            <w:noWrap/>
            <w:vAlign w:val="center"/>
          </w:tcPr>
          <w:p>
            <w:pPr>
              <w:widowControl/>
              <w:ind w:firstLine="321"/>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填报单位（章）：鄂尔多斯文学艺术界联合会</w:t>
            </w:r>
          </w:p>
        </w:tc>
        <w:tc>
          <w:tcPr>
            <w:tcW w:w="1685" w:type="dxa"/>
            <w:gridSpan w:val="3"/>
            <w:tcBorders>
              <w:top w:val="nil"/>
              <w:left w:val="nil"/>
              <w:bottom w:val="single" w:color="000000" w:sz="8" w:space="0"/>
              <w:right w:val="nil"/>
            </w:tcBorders>
            <w:shd w:val="clear" w:color="auto" w:fill="auto"/>
            <w:vAlign w:val="center"/>
          </w:tcPr>
          <w:p>
            <w:pPr>
              <w:widowControl/>
              <w:ind w:firstLine="321"/>
              <w:jc w:val="left"/>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 xml:space="preserve">联系人：敖敏                    </w:t>
            </w:r>
          </w:p>
        </w:tc>
        <w:tc>
          <w:tcPr>
            <w:tcW w:w="3237" w:type="dxa"/>
            <w:gridSpan w:val="8"/>
            <w:tcBorders>
              <w:top w:val="nil"/>
              <w:left w:val="nil"/>
              <w:bottom w:val="single" w:color="000000" w:sz="8" w:space="0"/>
              <w:right w:val="nil"/>
            </w:tcBorders>
            <w:shd w:val="clear" w:color="auto" w:fill="auto"/>
            <w:vAlign w:val="center"/>
          </w:tcPr>
          <w:p>
            <w:pPr>
              <w:widowControl/>
              <w:ind w:firstLine="321"/>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电话：18604779592</w:t>
            </w:r>
          </w:p>
        </w:tc>
      </w:tr>
      <w:tr>
        <w:tblPrEx>
          <w:tblCellMar>
            <w:top w:w="0" w:type="dxa"/>
            <w:left w:w="108" w:type="dxa"/>
            <w:bottom w:w="0" w:type="dxa"/>
            <w:right w:w="108" w:type="dxa"/>
          </w:tblCellMar>
        </w:tblPrEx>
        <w:trPr>
          <w:trHeight w:val="280" w:hRule="atLeast"/>
        </w:trPr>
        <w:tc>
          <w:tcPr>
            <w:tcW w:w="15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项目名称</w:t>
            </w:r>
          </w:p>
        </w:tc>
        <w:tc>
          <w:tcPr>
            <w:tcW w:w="7581"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文化活动业务经费</w:t>
            </w:r>
          </w:p>
        </w:tc>
      </w:tr>
      <w:tr>
        <w:tblPrEx>
          <w:tblCellMar>
            <w:top w:w="0" w:type="dxa"/>
            <w:left w:w="108" w:type="dxa"/>
            <w:bottom w:w="0" w:type="dxa"/>
            <w:right w:w="108" w:type="dxa"/>
          </w:tblCellMar>
        </w:tblPrEx>
        <w:trPr>
          <w:trHeight w:val="280" w:hRule="atLeast"/>
        </w:trPr>
        <w:tc>
          <w:tcPr>
            <w:tcW w:w="15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主管部门</w:t>
            </w:r>
          </w:p>
        </w:tc>
        <w:tc>
          <w:tcPr>
            <w:tcW w:w="402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鄂尔多斯市文学艺术界联合会</w:t>
            </w:r>
          </w:p>
        </w:tc>
        <w:tc>
          <w:tcPr>
            <w:tcW w:w="969"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实施单位</w:t>
            </w:r>
          </w:p>
        </w:tc>
        <w:tc>
          <w:tcPr>
            <w:tcW w:w="2590"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市文联</w:t>
            </w:r>
          </w:p>
        </w:tc>
      </w:tr>
      <w:tr>
        <w:tblPrEx>
          <w:tblCellMar>
            <w:top w:w="0" w:type="dxa"/>
            <w:left w:w="108" w:type="dxa"/>
            <w:bottom w:w="0" w:type="dxa"/>
            <w:right w:w="108" w:type="dxa"/>
          </w:tblCellMar>
        </w:tblPrEx>
        <w:trPr>
          <w:trHeight w:val="345" w:hRule="atLeast"/>
        </w:trPr>
        <w:tc>
          <w:tcPr>
            <w:tcW w:w="154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项目资金（万元）</w:t>
            </w:r>
          </w:p>
        </w:tc>
        <w:tc>
          <w:tcPr>
            <w:tcW w:w="15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078"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年初预算数</w:t>
            </w:r>
          </w:p>
        </w:tc>
        <w:tc>
          <w:tcPr>
            <w:tcW w:w="13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全年预算数</w:t>
            </w:r>
          </w:p>
        </w:tc>
        <w:tc>
          <w:tcPr>
            <w:tcW w:w="1091" w:type="dxa"/>
            <w:gridSpan w:val="4"/>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全年执行数</w:t>
            </w:r>
          </w:p>
        </w:tc>
        <w:tc>
          <w:tcPr>
            <w:tcW w:w="8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分值</w:t>
            </w:r>
          </w:p>
        </w:tc>
        <w:tc>
          <w:tcPr>
            <w:tcW w:w="859"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执行率</w:t>
            </w:r>
          </w:p>
        </w:tc>
        <w:tc>
          <w:tcPr>
            <w:tcW w:w="777"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得分</w:t>
            </w:r>
          </w:p>
        </w:tc>
      </w:tr>
      <w:tr>
        <w:tblPrEx>
          <w:tblCellMar>
            <w:top w:w="0" w:type="dxa"/>
            <w:left w:w="108" w:type="dxa"/>
            <w:bottom w:w="0" w:type="dxa"/>
            <w:right w:w="108" w:type="dxa"/>
          </w:tblCellMar>
        </w:tblPrEx>
        <w:trPr>
          <w:trHeight w:val="358" w:hRule="atLeast"/>
        </w:trPr>
        <w:tc>
          <w:tcPr>
            <w:tcW w:w="154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5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年度资金总额</w:t>
            </w:r>
          </w:p>
        </w:tc>
        <w:tc>
          <w:tcPr>
            <w:tcW w:w="1078" w:type="dxa"/>
            <w:tcBorders>
              <w:top w:val="nil"/>
              <w:left w:val="nil"/>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3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091" w:type="dxa"/>
            <w:gridSpan w:val="4"/>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90.710898</w:t>
            </w:r>
          </w:p>
        </w:tc>
        <w:tc>
          <w:tcPr>
            <w:tcW w:w="8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859"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90.71</w:t>
            </w:r>
          </w:p>
        </w:tc>
        <w:tc>
          <w:tcPr>
            <w:tcW w:w="777" w:type="dxa"/>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9.1</w:t>
            </w:r>
          </w:p>
        </w:tc>
      </w:tr>
      <w:tr>
        <w:tblPrEx>
          <w:tblCellMar>
            <w:top w:w="0" w:type="dxa"/>
            <w:left w:w="108" w:type="dxa"/>
            <w:bottom w:w="0" w:type="dxa"/>
            <w:right w:w="108" w:type="dxa"/>
          </w:tblCellMar>
        </w:tblPrEx>
        <w:trPr>
          <w:trHeight w:val="352" w:hRule="atLeast"/>
        </w:trPr>
        <w:tc>
          <w:tcPr>
            <w:tcW w:w="154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5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其中：当年财政拨款</w:t>
            </w:r>
          </w:p>
        </w:tc>
        <w:tc>
          <w:tcPr>
            <w:tcW w:w="1078" w:type="dxa"/>
            <w:tcBorders>
              <w:top w:val="nil"/>
              <w:left w:val="nil"/>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3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091" w:type="dxa"/>
            <w:gridSpan w:val="4"/>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90.710898</w:t>
            </w:r>
          </w:p>
        </w:tc>
        <w:tc>
          <w:tcPr>
            <w:tcW w:w="8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859"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777" w:type="dxa"/>
            <w:tcBorders>
              <w:top w:val="nil"/>
              <w:left w:val="nil"/>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r>
      <w:tr>
        <w:tblPrEx>
          <w:tblCellMar>
            <w:top w:w="0" w:type="dxa"/>
            <w:left w:w="108" w:type="dxa"/>
            <w:bottom w:w="0" w:type="dxa"/>
            <w:right w:w="108" w:type="dxa"/>
          </w:tblCellMar>
        </w:tblPrEx>
        <w:trPr>
          <w:trHeight w:val="345" w:hRule="atLeast"/>
        </w:trPr>
        <w:tc>
          <w:tcPr>
            <w:tcW w:w="154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58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其他资金</w:t>
            </w:r>
          </w:p>
        </w:tc>
        <w:tc>
          <w:tcPr>
            <w:tcW w:w="1078" w:type="dxa"/>
            <w:tcBorders>
              <w:top w:val="nil"/>
              <w:left w:val="nil"/>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3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091" w:type="dxa"/>
            <w:gridSpan w:val="4"/>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8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859"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777" w:type="dxa"/>
            <w:tcBorders>
              <w:top w:val="nil"/>
              <w:left w:val="nil"/>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r>
      <w:tr>
        <w:tblPrEx>
          <w:tblCellMar>
            <w:top w:w="0" w:type="dxa"/>
            <w:left w:w="108" w:type="dxa"/>
            <w:bottom w:w="0" w:type="dxa"/>
            <w:right w:w="108" w:type="dxa"/>
          </w:tblCellMar>
        </w:tblPrEx>
        <w:trPr>
          <w:trHeight w:val="345" w:hRule="atLeast"/>
        </w:trPr>
        <w:tc>
          <w:tcPr>
            <w:tcW w:w="66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年度总体目标</w:t>
            </w:r>
          </w:p>
        </w:tc>
        <w:tc>
          <w:tcPr>
            <w:tcW w:w="4895"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预期目标</w:t>
            </w:r>
          </w:p>
        </w:tc>
        <w:tc>
          <w:tcPr>
            <w:tcW w:w="3559" w:type="dxa"/>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实际完成情况</w:t>
            </w:r>
          </w:p>
        </w:tc>
      </w:tr>
      <w:tr>
        <w:tblPrEx>
          <w:tblCellMar>
            <w:top w:w="0" w:type="dxa"/>
            <w:left w:w="108" w:type="dxa"/>
            <w:bottom w:w="0" w:type="dxa"/>
            <w:right w:w="108" w:type="dxa"/>
          </w:tblCellMar>
        </w:tblPrEx>
        <w:trPr>
          <w:trHeight w:val="1362" w:hRule="atLeast"/>
        </w:trPr>
        <w:tc>
          <w:tcPr>
            <w:tcW w:w="66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4895"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围绕重大节点开展红色百年主题文艺活动、学党史文艺活动；加强文艺交流，与镇江市、井冈山等先进地区开展文艺交流创作展览活动；全年推进基础工作，继续完善人才数据库、微信公众平台等活动，为协会活动、新时代文明实践文艺志愿服务活动提供经费保障。</w:t>
            </w:r>
          </w:p>
        </w:tc>
        <w:tc>
          <w:tcPr>
            <w:tcW w:w="3559" w:type="dxa"/>
            <w:gridSpan w:val="9"/>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15" w:hRule="atLeast"/>
        </w:trPr>
        <w:tc>
          <w:tcPr>
            <w:tcW w:w="668" w:type="dxa"/>
            <w:vMerge w:val="restart"/>
            <w:tcBorders>
              <w:top w:val="single" w:color="000000" w:sz="8" w:space="0"/>
              <w:left w:val="single" w:color="000000" w:sz="8" w:space="0"/>
              <w:bottom w:val="nil"/>
              <w:right w:val="single" w:color="000000" w:sz="8" w:space="0"/>
            </w:tcBorders>
            <w:shd w:val="clear" w:color="auto" w:fill="auto"/>
            <w:textDirection w:val="tbRlV"/>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绩效指标</w:t>
            </w:r>
          </w:p>
        </w:tc>
        <w:tc>
          <w:tcPr>
            <w:tcW w:w="8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一级指标</w:t>
            </w:r>
          </w:p>
        </w:tc>
        <w:tc>
          <w:tcPr>
            <w:tcW w:w="55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二级指标</w:t>
            </w:r>
          </w:p>
        </w:tc>
        <w:tc>
          <w:tcPr>
            <w:tcW w:w="2223"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三级指标</w:t>
            </w:r>
          </w:p>
        </w:tc>
        <w:tc>
          <w:tcPr>
            <w:tcW w:w="12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年度指标值</w:t>
            </w:r>
          </w:p>
        </w:tc>
        <w:tc>
          <w:tcPr>
            <w:tcW w:w="723"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实际完成值</w:t>
            </w:r>
          </w:p>
        </w:tc>
        <w:tc>
          <w:tcPr>
            <w:tcW w:w="846"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分值</w:t>
            </w:r>
          </w:p>
        </w:tc>
        <w:tc>
          <w:tcPr>
            <w:tcW w:w="777"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得分</w:t>
            </w:r>
          </w:p>
        </w:tc>
        <w:tc>
          <w:tcPr>
            <w:tcW w:w="1213"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偏差原因分析及改进措施</w:t>
            </w:r>
          </w:p>
        </w:tc>
      </w:tr>
      <w:tr>
        <w:tblPrEx>
          <w:tblCellMar>
            <w:top w:w="0" w:type="dxa"/>
            <w:left w:w="108" w:type="dxa"/>
            <w:bottom w:w="0" w:type="dxa"/>
            <w:right w:w="108" w:type="dxa"/>
          </w:tblCellMar>
        </w:tblPrEx>
        <w:trPr>
          <w:trHeight w:val="353"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2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23"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846"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77"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1213"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产出指标（50分）</w:t>
            </w:r>
          </w:p>
        </w:tc>
        <w:tc>
          <w:tcPr>
            <w:tcW w:w="559"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数量指标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开展文艺家“学党史、知党恩”主题活动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&gt;=5次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开展“百年百首”诗歌音乐会</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红色百年书法美术摄影展</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&gt;=1次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红色百年征文活动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1次</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1次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3</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开展对外交流活动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&gt;=3次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因疫情未完成</w:t>
            </w: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文艺家数据库录入</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&gt;=1000条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1200条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3</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微信公众号发表文章</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&gt;=180期</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180条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质量指标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提升文艺界党史知识水平</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合格率&gt;=60</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2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诗歌涵盖全市历年创作的红色诗歌</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覆盖率&gt;=50</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作品精选全市精品作品</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主席团以上会员作品&gt;=60</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80%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9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活动要有征集、发表、宣传</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出版专刊1册、发布作品10条</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专刊2册、作品25条</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与周边文联形成合作机制</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共同举办活动&gt;=2次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因疫情未完成</w:t>
            </w:r>
          </w:p>
        </w:tc>
      </w:tr>
      <w:tr>
        <w:tblPrEx>
          <w:tblCellMar>
            <w:top w:w="0" w:type="dxa"/>
            <w:left w:w="108" w:type="dxa"/>
            <w:bottom w:w="0" w:type="dxa"/>
            <w:right w:w="108" w:type="dxa"/>
          </w:tblCellMar>
        </w:tblPrEx>
        <w:trPr>
          <w:trHeight w:val="638"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扩大本市文艺家知名度</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宣传知晓率&gt;=60%</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完成</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微信平台公众号文章数量</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&gt;=180条</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完成</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时效指标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各项工作完成时间</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2021年1月-12月</w:t>
            </w:r>
          </w:p>
        </w:tc>
        <w:tc>
          <w:tcPr>
            <w:tcW w:w="723" w:type="dxa"/>
            <w:gridSpan w:val="2"/>
            <w:tcBorders>
              <w:top w:val="nil"/>
              <w:left w:val="nil"/>
              <w:bottom w:val="single" w:color="000000" w:sz="8" w:space="0"/>
              <w:right w:val="single" w:color="000000" w:sz="8" w:space="0"/>
            </w:tcBorders>
            <w:shd w:val="clear" w:color="auto" w:fill="FFF2CC"/>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完成</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成本指标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开展文艺家“学党史、知党恩”主题活动各项活动的费用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≤31.4万元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29.9万元</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1</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部分活动因疫情简办</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开展“百年百首”诗歌音乐会场地、编导、演员等费用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7.44万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1</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部分费用跨年度支出</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红色百年书法美术摄影作品装裱、展馆部署、开展仪式费用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≤12万元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19.8万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因活动受群众欢迎，展览延期。</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红色百年征文稿费、专刊增刊出版等费用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4.14万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1.5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因稿费支出减少。</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与其它地区文联联办活动、互办采风等活动费用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≤23万元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19.89万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受疫情影响部分活动从简</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数据库维护、录入、上线等费用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4.8万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501"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微信平台维护、发布费用</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≤4.8万元</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4.74万</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2</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595"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效益指标（30分）</w:t>
            </w:r>
          </w:p>
        </w:tc>
        <w:tc>
          <w:tcPr>
            <w:tcW w:w="559" w:type="dxa"/>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经济效益指标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指标1：无</w:t>
            </w:r>
          </w:p>
        </w:tc>
        <w:tc>
          <w:tcPr>
            <w:tcW w:w="1240" w:type="dxa"/>
            <w:tcBorders>
              <w:top w:val="nil"/>
              <w:left w:val="nil"/>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23" w:type="dxa"/>
            <w:gridSpan w:val="2"/>
            <w:tcBorders>
              <w:top w:val="nil"/>
              <w:left w:val="nil"/>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社会效益指标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加强文艺交流</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有效</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有效</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保障协会活动、新时代文明实践文艺志愿服务活动顺利开展</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有效</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有效</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15</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15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772"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生态效益指标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指标1：无</w:t>
            </w:r>
          </w:p>
        </w:tc>
        <w:tc>
          <w:tcPr>
            <w:tcW w:w="1240" w:type="dxa"/>
            <w:tcBorders>
              <w:top w:val="nil"/>
              <w:left w:val="nil"/>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23" w:type="dxa"/>
            <w:gridSpan w:val="2"/>
            <w:tcBorders>
              <w:top w:val="nil"/>
              <w:left w:val="nil"/>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可持续影响指标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项目可持续发挥作用期限</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长期</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长期</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满意度指标（10分）</w:t>
            </w:r>
          </w:p>
        </w:tc>
        <w:tc>
          <w:tcPr>
            <w:tcW w:w="559"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服务对象满意度指标</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群众满意度</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大于90%</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90%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68" w:type="dxa"/>
            <w:vMerge w:val="continue"/>
            <w:tcBorders>
              <w:top w:val="single" w:color="000000" w:sz="8" w:space="0"/>
              <w:left w:val="single" w:color="000000" w:sz="8" w:space="0"/>
              <w:bottom w:val="nil"/>
              <w:right w:val="single" w:color="000000" w:sz="8" w:space="0"/>
            </w:tcBorders>
            <w:shd w:val="clear" w:color="auto" w:fill="auto"/>
            <w:textDirection w:val="tbRlV"/>
            <w:vAlign w:val="center"/>
          </w:tcPr>
          <w:p>
            <w:pPr>
              <w:ind w:firstLine="320"/>
              <w:jc w:val="left"/>
              <w:rPr>
                <w:rFonts w:ascii="宋体" w:hAnsi="宋体" w:eastAsia="宋体" w:cs="宋体"/>
                <w:color w:val="000000"/>
                <w:sz w:val="16"/>
                <w:szCs w:val="16"/>
              </w:rPr>
            </w:pPr>
          </w:p>
        </w:tc>
        <w:tc>
          <w:tcPr>
            <w:tcW w:w="873"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559" w:type="dxa"/>
            <w:vMerge w:val="continue"/>
            <w:tcBorders>
              <w:top w:val="single" w:color="000000" w:sz="8" w:space="0"/>
              <w:left w:val="single" w:color="000000" w:sz="8" w:space="0"/>
              <w:bottom w:val="nil"/>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bookmarkStart w:id="1" w:name="_GoBack"/>
            <w:bookmarkEnd w:id="1"/>
            <w:r>
              <w:rPr>
                <w:rFonts w:hint="eastAsia" w:ascii="宋体" w:hAnsi="宋体" w:eastAsia="宋体" w:cs="宋体"/>
                <w:color w:val="000000"/>
                <w:kern w:val="0"/>
                <w:sz w:val="16"/>
                <w:szCs w:val="16"/>
                <w:lang w:bidi="ar"/>
              </w:rPr>
              <w:t>文艺家满意度</w:t>
            </w:r>
          </w:p>
        </w:tc>
        <w:tc>
          <w:tcPr>
            <w:tcW w:w="1240" w:type="dxa"/>
            <w:tcBorders>
              <w:top w:val="nil"/>
              <w:left w:val="nil"/>
              <w:bottom w:val="single" w:color="000000" w:sz="8" w:space="0"/>
              <w:right w:val="single" w:color="000000" w:sz="8" w:space="0"/>
            </w:tcBorders>
            <w:shd w:val="clear" w:color="auto" w:fill="auto"/>
            <w:vAlign w:val="center"/>
          </w:tcPr>
          <w:p>
            <w:pPr>
              <w:widowControl/>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大于90%</w:t>
            </w:r>
          </w:p>
        </w:tc>
        <w:tc>
          <w:tcPr>
            <w:tcW w:w="723" w:type="dxa"/>
            <w:gridSpan w:val="2"/>
            <w:tcBorders>
              <w:top w:val="nil"/>
              <w:left w:val="nil"/>
              <w:bottom w:val="single" w:color="000000" w:sz="8" w:space="0"/>
              <w:right w:val="single" w:color="000000" w:sz="8" w:space="0"/>
            </w:tcBorders>
            <w:shd w:val="clear" w:color="auto" w:fill="FFF2CC"/>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90%</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r>
              <w:rPr>
                <w:rFonts w:hint="eastAsia" w:ascii="宋体" w:hAnsi="宋体" w:eastAsia="宋体" w:cs="宋体"/>
                <w:color w:val="000000"/>
                <w:sz w:val="16"/>
                <w:szCs w:val="16"/>
              </w:rPr>
              <w:t>5</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FFF2CC"/>
            <w:vAlign w:val="center"/>
          </w:tcPr>
          <w:p>
            <w:pPr>
              <w:ind w:firstLine="320"/>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40" w:hRule="atLeast"/>
        </w:trPr>
        <w:tc>
          <w:tcPr>
            <w:tcW w:w="6286" w:type="dxa"/>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总分</w:t>
            </w:r>
          </w:p>
        </w:tc>
        <w:tc>
          <w:tcPr>
            <w:tcW w:w="846"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ind w:firstLine="320"/>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77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0" w:firstLineChars="0"/>
              <w:jc w:val="left"/>
              <w:rPr>
                <w:rFonts w:ascii="宋体" w:hAnsi="宋体" w:eastAsia="宋体" w:cs="宋体"/>
                <w:color w:val="000000"/>
                <w:sz w:val="16"/>
                <w:szCs w:val="16"/>
              </w:rPr>
            </w:pPr>
            <w:r>
              <w:rPr>
                <w:rFonts w:hint="eastAsia" w:ascii="宋体" w:hAnsi="宋体" w:eastAsia="宋体" w:cs="宋体"/>
                <w:color w:val="000000"/>
                <w:sz w:val="16"/>
                <w:szCs w:val="16"/>
              </w:rPr>
              <w:t>94.1</w:t>
            </w:r>
          </w:p>
        </w:tc>
        <w:tc>
          <w:tcPr>
            <w:tcW w:w="121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320"/>
              <w:jc w:val="left"/>
              <w:rPr>
                <w:rFonts w:ascii="宋体" w:hAnsi="宋体" w:eastAsia="宋体" w:cs="宋体"/>
                <w:color w:val="000000"/>
                <w:sz w:val="16"/>
                <w:szCs w:val="16"/>
              </w:rPr>
            </w:pPr>
          </w:p>
        </w:tc>
      </w:tr>
    </w:tbl>
    <w:p>
      <w:pPr>
        <w:pStyle w:val="2"/>
        <w:ind w:left="0" w:leftChars="0" w:firstLine="0" w:firstLineChars="0"/>
        <w:rPr>
          <w:rFonts w:ascii="仿宋_GB2312" w:hAnsi="仿宋_GB2312" w:cs="仿宋_GB2312"/>
          <w:sz w:val="32"/>
          <w:szCs w:val="32"/>
        </w:rPr>
      </w:pPr>
    </w:p>
    <w:p>
      <w:pPr>
        <w:pStyle w:val="2"/>
        <w:ind w:left="0" w:leftChars="0" w:firstLine="0" w:firstLineChars="0"/>
        <w:rPr>
          <w:rFonts w:ascii="仿宋_GB2312" w:hAnsi="仿宋_GB2312" w:cs="仿宋_GB2312"/>
          <w:sz w:val="32"/>
          <w:szCs w:val="32"/>
        </w:rPr>
      </w:pPr>
    </w:p>
    <w:sectPr>
      <w:footerReference r:id="rId5" w:type="default"/>
      <w:pgSz w:w="11906" w:h="16838"/>
      <w:pgMar w:top="1383" w:right="1746" w:bottom="1383" w:left="17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MDBlZTE0YTdiY2RjMzA3MzVkNzQ5ZmFiZTNlOGMifQ=="/>
  </w:docVars>
  <w:rsids>
    <w:rsidRoot w:val="4C5F3A23"/>
    <w:rsid w:val="00032D8D"/>
    <w:rsid w:val="001E2FDF"/>
    <w:rsid w:val="004131AA"/>
    <w:rsid w:val="004A6ED9"/>
    <w:rsid w:val="005021B3"/>
    <w:rsid w:val="00756D2F"/>
    <w:rsid w:val="009548B8"/>
    <w:rsid w:val="009F109C"/>
    <w:rsid w:val="00A95352"/>
    <w:rsid w:val="00B74B89"/>
    <w:rsid w:val="00ED74B2"/>
    <w:rsid w:val="01F96381"/>
    <w:rsid w:val="02BE582C"/>
    <w:rsid w:val="06E252F9"/>
    <w:rsid w:val="0A047F56"/>
    <w:rsid w:val="104D0A9E"/>
    <w:rsid w:val="10DC23B3"/>
    <w:rsid w:val="10FD542A"/>
    <w:rsid w:val="1208137B"/>
    <w:rsid w:val="19097F54"/>
    <w:rsid w:val="1B1E2EB4"/>
    <w:rsid w:val="20891E07"/>
    <w:rsid w:val="224551CB"/>
    <w:rsid w:val="25D86356"/>
    <w:rsid w:val="286B34B1"/>
    <w:rsid w:val="28BC64AE"/>
    <w:rsid w:val="2BFF463C"/>
    <w:rsid w:val="32E2699B"/>
    <w:rsid w:val="3ADD1FEC"/>
    <w:rsid w:val="3DBD7D62"/>
    <w:rsid w:val="3FC5080E"/>
    <w:rsid w:val="41EE0932"/>
    <w:rsid w:val="42076726"/>
    <w:rsid w:val="450D127F"/>
    <w:rsid w:val="47F93BBB"/>
    <w:rsid w:val="4C5F3A23"/>
    <w:rsid w:val="50586C0A"/>
    <w:rsid w:val="54432825"/>
    <w:rsid w:val="58BB71A6"/>
    <w:rsid w:val="5D4E713B"/>
    <w:rsid w:val="5D5C0212"/>
    <w:rsid w:val="62E0712D"/>
    <w:rsid w:val="638E7A78"/>
    <w:rsid w:val="63CA440B"/>
    <w:rsid w:val="67476207"/>
    <w:rsid w:val="67ED1DDA"/>
    <w:rsid w:val="67EF6A30"/>
    <w:rsid w:val="70451EAC"/>
    <w:rsid w:val="72EC36E4"/>
    <w:rsid w:val="73FD2FE9"/>
    <w:rsid w:val="77096BB1"/>
    <w:rsid w:val="78526BCD"/>
    <w:rsid w:val="7AB108D8"/>
    <w:rsid w:val="7AD94D14"/>
    <w:rsid w:val="7C6453C2"/>
    <w:rsid w:val="7F0D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Times New Roman"/>
      <w:kern w:val="2"/>
      <w:sz w:val="30"/>
      <w:szCs w:val="24"/>
      <w:lang w:val="en-US" w:eastAsia="zh-CN" w:bidi="ar-SA"/>
    </w:rPr>
  </w:style>
  <w:style w:type="paragraph" w:styleId="4">
    <w:name w:val="heading 1"/>
    <w:basedOn w:val="1"/>
    <w:next w:val="1"/>
    <w:qFormat/>
    <w:uiPriority w:val="0"/>
    <w:pPr>
      <w:keepNext/>
      <w:keepLines/>
      <w:spacing w:line="360" w:lineRule="auto"/>
      <w:outlineLvl w:val="0"/>
    </w:pPr>
    <w:rPr>
      <w:b/>
      <w:kern w:val="44"/>
    </w:rPr>
  </w:style>
  <w:style w:type="paragraph" w:styleId="5">
    <w:name w:val="heading 2"/>
    <w:basedOn w:val="1"/>
    <w:next w:val="1"/>
    <w:unhideWhenUsed/>
    <w:qFormat/>
    <w:uiPriority w:val="0"/>
    <w:pPr>
      <w:keepNext/>
      <w:keepLines/>
      <w:spacing w:line="360" w:lineRule="auto"/>
      <w:outlineLvl w:val="1"/>
    </w:pPr>
    <w:rPr>
      <w:rFonts w:ascii="Arial" w:hAnsi="Arial"/>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4184</Words>
  <Characters>4590</Characters>
  <Lines>35</Lines>
  <Paragraphs>10</Paragraphs>
  <TotalTime>23</TotalTime>
  <ScaleCrop>false</ScaleCrop>
  <LinksUpToDate>false</LinksUpToDate>
  <CharactersWithSpaces>4614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2022-04-15T09:25:00Z</dcterms:created>
  <dc:creator>thtf</dc:creator>
  <cp:lastModifiedBy>兔姐姐</cp:lastModifiedBy>
  <cp:lastPrinted>2022-04-15T11:25:00Z</cp:lastPrinted>
  <dcterms:modified xsi:type="dcterms:W3CDTF">2022-06-17T09:53:35Z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92CC0A92B647441CB312ACF8AAD0DD4C</vt:lpwstr>
  </property>
</Properties>
</file>